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580AF" w14:textId="1ED82CF4" w:rsidR="00801855" w:rsidRPr="00801855" w:rsidRDefault="00801855" w:rsidP="00AC2B83">
      <w:pPr>
        <w:pStyle w:val="Heading1"/>
        <w:rPr>
          <w:sz w:val="46"/>
          <w:szCs w:val="40"/>
        </w:rPr>
      </w:pPr>
      <w:r w:rsidRPr="00801855">
        <w:rPr>
          <w:sz w:val="46"/>
          <w:szCs w:val="40"/>
        </w:rPr>
        <w:t xml:space="preserve">NDIS Practice Standards and Quality Indicators – </w:t>
      </w:r>
      <w:r>
        <w:rPr>
          <w:sz w:val="46"/>
          <w:szCs w:val="40"/>
        </w:rPr>
        <w:t xml:space="preserve">  </w:t>
      </w:r>
      <w:r w:rsidRPr="00801855">
        <w:rPr>
          <w:sz w:val="46"/>
          <w:szCs w:val="40"/>
        </w:rPr>
        <w:t>Gap analysis template (</w:t>
      </w:r>
      <w:r w:rsidR="00052B1F">
        <w:rPr>
          <w:sz w:val="46"/>
          <w:szCs w:val="40"/>
        </w:rPr>
        <w:t>verification</w:t>
      </w:r>
      <w:r w:rsidRPr="00801855">
        <w:rPr>
          <w:sz w:val="46"/>
          <w:szCs w:val="40"/>
        </w:rPr>
        <w:t>)</w:t>
      </w:r>
    </w:p>
    <w:p w14:paraId="481B2AF1" w14:textId="77777777" w:rsidR="00052B1F" w:rsidRDefault="00052B1F" w:rsidP="00052B1F">
      <w:pPr>
        <w:pStyle w:val="Body1"/>
      </w:pPr>
      <w:bookmarkStart w:id="0" w:name="_Hlk42081060"/>
      <w:r>
        <w:t xml:space="preserve">There are several requirements providers must meet to become registered, and maintain registration, with the NDIS Commission. This includes demonstrating compliance with the NDIS Practice Standards for your relevant registration groups. Core modules are applicable to everyone, whilst the supplementary modules should be applied where relevant. </w:t>
      </w:r>
    </w:p>
    <w:p w14:paraId="554B3438" w14:textId="77777777" w:rsidR="00052B1F" w:rsidRDefault="00052B1F" w:rsidP="00052B1F">
      <w:pPr>
        <w:pStyle w:val="Body1"/>
      </w:pPr>
      <w:r>
        <w:t xml:space="preserve">This tool helps you to identify how your organisation is already meeting the practice standards under each module, and any additional quality indicators needed. Once you have identified additional quality indicators required, create an action plan to help achieve your objectives. </w:t>
      </w:r>
    </w:p>
    <w:p w14:paraId="411F2BEC" w14:textId="77777777" w:rsidR="00052B1F" w:rsidRPr="00052B1F" w:rsidRDefault="00052B1F" w:rsidP="00052B1F">
      <w:pPr>
        <w:pStyle w:val="Body1"/>
      </w:pPr>
      <w:r>
        <w:t xml:space="preserve">Tip! Use the </w:t>
      </w:r>
      <w:hyperlink r:id="rId7" w:history="1">
        <w:r w:rsidRPr="007122DB">
          <w:rPr>
            <w:rStyle w:val="Hyperlink"/>
          </w:rPr>
          <w:t>NDIS Practice Standards and Quality Indicators</w:t>
        </w:r>
      </w:hyperlink>
      <w:r>
        <w:t xml:space="preserve"> </w:t>
      </w:r>
      <w:r w:rsidRPr="00052B1F">
        <w:t xml:space="preserve">for guidance on quality indicators NDIS providers can use to demonstrate they comply with the Practice Standard outcomes. </w:t>
      </w:r>
    </w:p>
    <w:tbl>
      <w:tblPr>
        <w:tblStyle w:val="TableGrid"/>
        <w:tblW w:w="0" w:type="auto"/>
        <w:jc w:val="center"/>
        <w:tblLook w:val="04A0" w:firstRow="1" w:lastRow="0" w:firstColumn="1" w:lastColumn="0" w:noHBand="0" w:noVBand="1"/>
      </w:tblPr>
      <w:tblGrid>
        <w:gridCol w:w="6541"/>
        <w:gridCol w:w="6563"/>
      </w:tblGrid>
      <w:tr w:rsidR="00801855" w:rsidRPr="00801855" w14:paraId="745CB560" w14:textId="77777777" w:rsidTr="00801855">
        <w:trPr>
          <w:jc w:val="center"/>
        </w:trPr>
        <w:tc>
          <w:tcPr>
            <w:tcW w:w="0" w:type="auto"/>
            <w:gridSpan w:val="2"/>
          </w:tcPr>
          <w:p w14:paraId="51EFB76D" w14:textId="65B51777" w:rsidR="00801855" w:rsidRPr="00801855" w:rsidRDefault="00052B1F" w:rsidP="00B11239">
            <w:pPr>
              <w:pStyle w:val="Heading2"/>
              <w:spacing w:before="0"/>
              <w:outlineLvl w:val="1"/>
              <w:rPr>
                <w:lang w:val="en-AU"/>
              </w:rPr>
            </w:pPr>
            <w:r>
              <w:rPr>
                <w:lang w:val="en-AU"/>
              </w:rPr>
              <w:t>Verification module</w:t>
            </w:r>
          </w:p>
        </w:tc>
      </w:tr>
      <w:tr w:rsidR="00801855" w:rsidRPr="00801855" w14:paraId="7513575D" w14:textId="77777777" w:rsidTr="00801855">
        <w:trPr>
          <w:jc w:val="center"/>
        </w:trPr>
        <w:tc>
          <w:tcPr>
            <w:tcW w:w="0" w:type="auto"/>
            <w:gridSpan w:val="2"/>
          </w:tcPr>
          <w:p w14:paraId="46EB17F4" w14:textId="77777777" w:rsidR="00052B1F" w:rsidRDefault="00052B1F" w:rsidP="00052B1F">
            <w:pPr>
              <w:pStyle w:val="Heading3"/>
              <w:outlineLvl w:val="2"/>
            </w:pPr>
            <w:r>
              <w:t>Practice standard: Human resource management</w:t>
            </w:r>
          </w:p>
          <w:p w14:paraId="4402C8C7" w14:textId="77777777" w:rsidR="00052B1F" w:rsidRDefault="00052B1F" w:rsidP="00052B1F">
            <w:r w:rsidRPr="00CC64DB">
              <w:rPr>
                <w:b/>
                <w:bCs/>
              </w:rPr>
              <w:t>Outcome:</w:t>
            </w:r>
            <w:r>
              <w:t xml:space="preserve"> Each participant’s support needs are met by workers who are competent in relation to their role, hold relevant qualifications, and who have relevant expertise and experience to provide person-centred support. </w:t>
            </w:r>
          </w:p>
          <w:p w14:paraId="39DD4BAA" w14:textId="77777777" w:rsidR="00052B1F" w:rsidRDefault="00052B1F" w:rsidP="00052B1F">
            <w:pPr>
              <w:rPr>
                <w:b/>
                <w:bCs/>
              </w:rPr>
            </w:pPr>
            <w:r>
              <w:rPr>
                <w:b/>
                <w:bCs/>
              </w:rPr>
              <w:t>Quality indicators:</w:t>
            </w:r>
          </w:p>
          <w:p w14:paraId="79AC9CA2" w14:textId="77777777" w:rsidR="00052B1F" w:rsidRPr="00CC64DB" w:rsidRDefault="00052B1F" w:rsidP="00052B1F">
            <w:pPr>
              <w:pStyle w:val="Bullets1"/>
            </w:pPr>
            <w:r w:rsidRPr="00CC64DB">
              <w:t xml:space="preserve">Records of worker identity, right to work, pre-employment checks, qualifications and/or experience are maintained. </w:t>
            </w:r>
          </w:p>
          <w:p w14:paraId="516043BC" w14:textId="6E01F7EC" w:rsidR="00801855" w:rsidRPr="00801855" w:rsidRDefault="00052B1F" w:rsidP="00052B1F">
            <w:pPr>
              <w:pStyle w:val="Bullets1"/>
              <w:rPr>
                <w:lang w:val="en-AU"/>
              </w:rPr>
            </w:pPr>
            <w:r w:rsidRPr="00CC64DB">
              <w:t>Workers complete mandatory NDIS orientation module and records of continuing professional development are maintained.</w:t>
            </w:r>
          </w:p>
        </w:tc>
      </w:tr>
      <w:tr w:rsidR="00801855" w:rsidRPr="00801855" w14:paraId="0C453155" w14:textId="77777777" w:rsidTr="00052B1F">
        <w:trPr>
          <w:jc w:val="center"/>
        </w:trPr>
        <w:tc>
          <w:tcPr>
            <w:tcW w:w="6393" w:type="dxa"/>
          </w:tcPr>
          <w:p w14:paraId="020B8359" w14:textId="77777777" w:rsidR="00801855" w:rsidRPr="00801855" w:rsidRDefault="00801855" w:rsidP="00B11239">
            <w:pPr>
              <w:pStyle w:val="Body2"/>
              <w:rPr>
                <w:lang w:val="en-AU"/>
              </w:rPr>
            </w:pPr>
            <w:r w:rsidRPr="00801855">
              <w:rPr>
                <w:lang w:val="en-AU"/>
              </w:rPr>
              <w:t>What indicators are already in place?</w:t>
            </w:r>
          </w:p>
          <w:p w14:paraId="0EBAAADA" w14:textId="77777777" w:rsidR="00801855" w:rsidRPr="00801855" w:rsidRDefault="00801855" w:rsidP="00B11239">
            <w:pPr>
              <w:pStyle w:val="Body2"/>
              <w:rPr>
                <w:lang w:val="en-AU"/>
              </w:rPr>
            </w:pPr>
          </w:p>
          <w:p w14:paraId="6D6226C0" w14:textId="77777777" w:rsidR="00801855" w:rsidRPr="00801855" w:rsidRDefault="00801855" w:rsidP="00B11239">
            <w:pPr>
              <w:pStyle w:val="Body2"/>
              <w:rPr>
                <w:lang w:val="en-AU"/>
              </w:rPr>
            </w:pPr>
          </w:p>
        </w:tc>
        <w:tc>
          <w:tcPr>
            <w:tcW w:w="6711" w:type="dxa"/>
          </w:tcPr>
          <w:p w14:paraId="69758B1C" w14:textId="77777777" w:rsidR="00801855" w:rsidRPr="00801855" w:rsidRDefault="00801855" w:rsidP="00B11239">
            <w:pPr>
              <w:pStyle w:val="Body2"/>
              <w:rPr>
                <w:lang w:val="en-AU"/>
              </w:rPr>
            </w:pPr>
            <w:r w:rsidRPr="00801855">
              <w:rPr>
                <w:lang w:val="en-AU"/>
              </w:rPr>
              <w:t>What are the gaps?</w:t>
            </w:r>
          </w:p>
          <w:p w14:paraId="5D6698A5" w14:textId="77777777" w:rsidR="00801855" w:rsidRPr="00801855" w:rsidRDefault="00801855" w:rsidP="00B11239">
            <w:pPr>
              <w:pStyle w:val="Body2"/>
              <w:rPr>
                <w:lang w:val="en-AU"/>
              </w:rPr>
            </w:pPr>
          </w:p>
          <w:p w14:paraId="43FAEC39" w14:textId="77777777" w:rsidR="00801855" w:rsidRPr="00801855" w:rsidRDefault="00801855" w:rsidP="00B11239">
            <w:pPr>
              <w:pStyle w:val="Body2"/>
              <w:rPr>
                <w:lang w:val="en-AU"/>
              </w:rPr>
            </w:pPr>
          </w:p>
        </w:tc>
      </w:tr>
      <w:tr w:rsidR="00801855" w:rsidRPr="00801855" w14:paraId="375B90D0" w14:textId="77777777" w:rsidTr="00801855">
        <w:trPr>
          <w:jc w:val="center"/>
        </w:trPr>
        <w:tc>
          <w:tcPr>
            <w:tcW w:w="0" w:type="auto"/>
            <w:gridSpan w:val="2"/>
          </w:tcPr>
          <w:p w14:paraId="04F003D6" w14:textId="77777777" w:rsidR="00052B1F" w:rsidRDefault="00052B1F" w:rsidP="00052B1F">
            <w:pPr>
              <w:pStyle w:val="Heading3"/>
              <w:outlineLvl w:val="2"/>
            </w:pPr>
            <w:r>
              <w:lastRenderedPageBreak/>
              <w:t xml:space="preserve">Practice standard: </w:t>
            </w:r>
            <w:r w:rsidRPr="00545EF7">
              <w:t>In</w:t>
            </w:r>
            <w:r>
              <w:t xml:space="preserve">cident management </w:t>
            </w:r>
          </w:p>
          <w:p w14:paraId="06CFDCBF" w14:textId="77777777" w:rsidR="00052B1F" w:rsidRDefault="00052B1F" w:rsidP="00052B1F">
            <w:r w:rsidRPr="00CC64DB">
              <w:rPr>
                <w:b/>
                <w:bCs/>
              </w:rPr>
              <w:t xml:space="preserve">Outcome: </w:t>
            </w:r>
            <w:r>
              <w:t xml:space="preserve">Each participant is safeguarded by the provider’s incident management system, ensuring that incidents are acknowledged, responded to, well managed and learned from. </w:t>
            </w:r>
          </w:p>
          <w:p w14:paraId="6F54411C" w14:textId="77777777" w:rsidR="00052B1F" w:rsidRDefault="00052B1F" w:rsidP="00052B1F">
            <w:pPr>
              <w:rPr>
                <w:b/>
                <w:bCs/>
              </w:rPr>
            </w:pPr>
            <w:r>
              <w:rPr>
                <w:b/>
                <w:bCs/>
              </w:rPr>
              <w:t>Quality indicators:</w:t>
            </w:r>
          </w:p>
          <w:p w14:paraId="01E488AA" w14:textId="0E52B215" w:rsidR="00801855" w:rsidRPr="00052B1F" w:rsidRDefault="00052B1F" w:rsidP="00052B1F">
            <w:pPr>
              <w:pStyle w:val="Bullets1"/>
            </w:pPr>
            <w:r w:rsidRPr="00052B1F">
              <w:t>An incident management system is maintained that is relevant and proportionate to the scope and complexity of supports delivered and the size and scale of the organisation. The system complies with the requirements under the National Disability Insurance Scheme (Incident Management and Reportable Incidents) Rules 2018.</w:t>
            </w:r>
          </w:p>
        </w:tc>
      </w:tr>
      <w:tr w:rsidR="00801855" w:rsidRPr="00801855" w14:paraId="26E3B882" w14:textId="77777777" w:rsidTr="00052B1F">
        <w:trPr>
          <w:jc w:val="center"/>
        </w:trPr>
        <w:tc>
          <w:tcPr>
            <w:tcW w:w="6393" w:type="dxa"/>
          </w:tcPr>
          <w:p w14:paraId="4ECF581A" w14:textId="77777777" w:rsidR="00801855" w:rsidRPr="00801855" w:rsidRDefault="00801855" w:rsidP="00B11239">
            <w:pPr>
              <w:pStyle w:val="Body2"/>
              <w:rPr>
                <w:lang w:val="en-AU"/>
              </w:rPr>
            </w:pPr>
            <w:r w:rsidRPr="00801855">
              <w:rPr>
                <w:lang w:val="en-AU"/>
              </w:rPr>
              <w:t>What indicators are already in place?</w:t>
            </w:r>
          </w:p>
          <w:p w14:paraId="08DE021C" w14:textId="77777777" w:rsidR="00801855" w:rsidRPr="00801855" w:rsidRDefault="00801855" w:rsidP="00B11239">
            <w:pPr>
              <w:pStyle w:val="Body2"/>
              <w:rPr>
                <w:lang w:val="en-AU"/>
              </w:rPr>
            </w:pPr>
          </w:p>
          <w:p w14:paraId="4803A258" w14:textId="77777777" w:rsidR="00801855" w:rsidRPr="00801855" w:rsidRDefault="00801855" w:rsidP="00B11239">
            <w:pPr>
              <w:pStyle w:val="Body2"/>
              <w:rPr>
                <w:lang w:val="en-AU"/>
              </w:rPr>
            </w:pPr>
          </w:p>
        </w:tc>
        <w:tc>
          <w:tcPr>
            <w:tcW w:w="6711" w:type="dxa"/>
          </w:tcPr>
          <w:p w14:paraId="4E77F052" w14:textId="77777777" w:rsidR="00801855" w:rsidRPr="00801855" w:rsidRDefault="00801855" w:rsidP="00B11239">
            <w:pPr>
              <w:pStyle w:val="Body2"/>
              <w:rPr>
                <w:lang w:val="en-AU"/>
              </w:rPr>
            </w:pPr>
            <w:r w:rsidRPr="00801855">
              <w:rPr>
                <w:lang w:val="en-AU"/>
              </w:rPr>
              <w:t>What are the gaps?</w:t>
            </w:r>
          </w:p>
          <w:p w14:paraId="6A4B5845" w14:textId="77777777" w:rsidR="00801855" w:rsidRPr="00801855" w:rsidRDefault="00801855" w:rsidP="00B11239">
            <w:pPr>
              <w:pStyle w:val="Body2"/>
              <w:rPr>
                <w:lang w:val="en-AU"/>
              </w:rPr>
            </w:pPr>
          </w:p>
          <w:p w14:paraId="67865124" w14:textId="77777777" w:rsidR="00801855" w:rsidRPr="00801855" w:rsidRDefault="00801855" w:rsidP="00B11239">
            <w:pPr>
              <w:pStyle w:val="Body2"/>
              <w:rPr>
                <w:lang w:val="en-AU"/>
              </w:rPr>
            </w:pPr>
          </w:p>
        </w:tc>
      </w:tr>
      <w:tr w:rsidR="00801855" w:rsidRPr="00801855" w14:paraId="277447C4" w14:textId="77777777" w:rsidTr="00801855">
        <w:trPr>
          <w:jc w:val="center"/>
        </w:trPr>
        <w:tc>
          <w:tcPr>
            <w:tcW w:w="0" w:type="auto"/>
            <w:gridSpan w:val="2"/>
          </w:tcPr>
          <w:p w14:paraId="10D21F57" w14:textId="77777777" w:rsidR="00052B1F" w:rsidRPr="00545EF7" w:rsidRDefault="00052B1F" w:rsidP="00052B1F">
            <w:pPr>
              <w:pStyle w:val="Heading3"/>
              <w:outlineLvl w:val="2"/>
            </w:pPr>
            <w:r>
              <w:t>Practice standard: Complaints management</w:t>
            </w:r>
            <w:r w:rsidRPr="00545EF7">
              <w:t xml:space="preserve"> </w:t>
            </w:r>
          </w:p>
          <w:p w14:paraId="6808F8D0" w14:textId="77777777" w:rsidR="00052B1F" w:rsidRDefault="00052B1F" w:rsidP="00052B1F">
            <w:r w:rsidRPr="00CC64DB">
              <w:rPr>
                <w:b/>
                <w:bCs/>
              </w:rPr>
              <w:t xml:space="preserve">Outcome: </w:t>
            </w:r>
            <w:r>
              <w:t xml:space="preserve">Each participant has knowledge of and access to the provider’s complaints management and resolution system. Complaints made by all parties are welcomed, acknowledged, respected and well managed. </w:t>
            </w:r>
          </w:p>
          <w:p w14:paraId="3B3E23D9" w14:textId="77777777" w:rsidR="00052B1F" w:rsidRDefault="00052B1F" w:rsidP="00052B1F">
            <w:r w:rsidRPr="00CC64DB">
              <w:rPr>
                <w:b/>
                <w:bCs/>
              </w:rPr>
              <w:t>Quality indicators:</w:t>
            </w:r>
            <w:r>
              <w:t xml:space="preserve"> </w:t>
            </w:r>
          </w:p>
          <w:p w14:paraId="4E72DC25" w14:textId="59F1FEF7" w:rsidR="00801855" w:rsidRPr="00052B1F" w:rsidRDefault="00052B1F" w:rsidP="00052B1F">
            <w:pPr>
              <w:pStyle w:val="Bullets1"/>
            </w:pPr>
            <w:r w:rsidRPr="00052B1F">
              <w:t>A complaints management and resolution system is maintained that is relevant and proportionate to the scope and complexity of supports delivered and the size and scale of the organisation. The system follows principles of procedural fairness and natural justice and complies with the requirements under the National Disability Insurance Scheme (Complaints Management and Resolution) Rules 2018.</w:t>
            </w:r>
          </w:p>
        </w:tc>
      </w:tr>
      <w:tr w:rsidR="00801855" w:rsidRPr="00801855" w14:paraId="46BE621F" w14:textId="77777777" w:rsidTr="00052B1F">
        <w:trPr>
          <w:jc w:val="center"/>
        </w:trPr>
        <w:tc>
          <w:tcPr>
            <w:tcW w:w="6393" w:type="dxa"/>
          </w:tcPr>
          <w:p w14:paraId="32F1F941" w14:textId="77777777" w:rsidR="00801855" w:rsidRPr="00801855" w:rsidRDefault="00801855" w:rsidP="00B11239">
            <w:pPr>
              <w:pStyle w:val="Body2"/>
              <w:rPr>
                <w:lang w:val="en-AU"/>
              </w:rPr>
            </w:pPr>
            <w:r w:rsidRPr="00801855">
              <w:rPr>
                <w:lang w:val="en-AU"/>
              </w:rPr>
              <w:t>What indicators are already in place?</w:t>
            </w:r>
          </w:p>
          <w:p w14:paraId="366F4842" w14:textId="77777777" w:rsidR="00801855" w:rsidRPr="00801855" w:rsidRDefault="00801855" w:rsidP="00B11239">
            <w:pPr>
              <w:pStyle w:val="Body2"/>
              <w:rPr>
                <w:lang w:val="en-AU"/>
              </w:rPr>
            </w:pPr>
          </w:p>
          <w:p w14:paraId="6633CA9D" w14:textId="77777777" w:rsidR="00801855" w:rsidRPr="00801855" w:rsidRDefault="00801855" w:rsidP="00B11239">
            <w:pPr>
              <w:pStyle w:val="Body2"/>
              <w:rPr>
                <w:lang w:val="en-AU"/>
              </w:rPr>
            </w:pPr>
          </w:p>
        </w:tc>
        <w:tc>
          <w:tcPr>
            <w:tcW w:w="6711" w:type="dxa"/>
          </w:tcPr>
          <w:p w14:paraId="6BF0E38A" w14:textId="77777777" w:rsidR="00801855" w:rsidRPr="00801855" w:rsidRDefault="00801855" w:rsidP="00B11239">
            <w:pPr>
              <w:pStyle w:val="Body2"/>
              <w:rPr>
                <w:lang w:val="en-AU"/>
              </w:rPr>
            </w:pPr>
            <w:r w:rsidRPr="00801855">
              <w:rPr>
                <w:lang w:val="en-AU"/>
              </w:rPr>
              <w:t>What are the gaps?</w:t>
            </w:r>
          </w:p>
          <w:p w14:paraId="135624AA" w14:textId="77777777" w:rsidR="00801855" w:rsidRPr="00801855" w:rsidRDefault="00801855" w:rsidP="00B11239">
            <w:pPr>
              <w:pStyle w:val="Body2"/>
              <w:rPr>
                <w:lang w:val="en-AU"/>
              </w:rPr>
            </w:pPr>
          </w:p>
          <w:p w14:paraId="6AC9473A" w14:textId="77777777" w:rsidR="00801855" w:rsidRPr="00801855" w:rsidRDefault="00801855" w:rsidP="00B11239">
            <w:pPr>
              <w:pStyle w:val="Body2"/>
              <w:rPr>
                <w:lang w:val="en-AU"/>
              </w:rPr>
            </w:pPr>
          </w:p>
        </w:tc>
      </w:tr>
      <w:tr w:rsidR="00801855" w:rsidRPr="00801855" w14:paraId="42837C67" w14:textId="77777777" w:rsidTr="00801855">
        <w:trPr>
          <w:jc w:val="center"/>
        </w:trPr>
        <w:tc>
          <w:tcPr>
            <w:tcW w:w="0" w:type="auto"/>
            <w:gridSpan w:val="2"/>
          </w:tcPr>
          <w:p w14:paraId="18F9644F" w14:textId="77777777" w:rsidR="00052B1F" w:rsidRPr="00545EF7" w:rsidRDefault="00052B1F" w:rsidP="00052B1F">
            <w:pPr>
              <w:pStyle w:val="Heading3"/>
              <w:outlineLvl w:val="2"/>
            </w:pPr>
            <w:r>
              <w:t>Practice standard: Risk management</w:t>
            </w:r>
            <w:r w:rsidRPr="00545EF7">
              <w:t xml:space="preserve"> </w:t>
            </w:r>
          </w:p>
          <w:p w14:paraId="3289F2DB" w14:textId="77777777" w:rsidR="00052B1F" w:rsidRDefault="00052B1F" w:rsidP="00052B1F">
            <w:r w:rsidRPr="00CC64DB">
              <w:rPr>
                <w:b/>
                <w:bCs/>
              </w:rPr>
              <w:t xml:space="preserve">Outcome: </w:t>
            </w:r>
            <w:r>
              <w:t xml:space="preserve">Risks to participants, workers and the provider are identified and managed. </w:t>
            </w:r>
          </w:p>
          <w:p w14:paraId="71369253" w14:textId="77777777" w:rsidR="00052B1F" w:rsidRDefault="00052B1F" w:rsidP="00052B1F">
            <w:pPr>
              <w:rPr>
                <w:b/>
                <w:bCs/>
              </w:rPr>
            </w:pPr>
            <w:r>
              <w:rPr>
                <w:b/>
                <w:bCs/>
              </w:rPr>
              <w:t>Quality indicators:</w:t>
            </w:r>
          </w:p>
          <w:p w14:paraId="55986107" w14:textId="77777777" w:rsidR="00052B1F" w:rsidRPr="00CC64DB" w:rsidRDefault="00052B1F" w:rsidP="00052B1F">
            <w:pPr>
              <w:pStyle w:val="Bullets1"/>
            </w:pPr>
            <w:r w:rsidRPr="00CC64DB">
              <w:t xml:space="preserve">A documented system that effectively manages work health and safety risks is in place, and is relevant and proportionate to the size and scale of the provider and the scope and complexity of supports. </w:t>
            </w:r>
          </w:p>
          <w:p w14:paraId="32820EEE" w14:textId="51CF3284" w:rsidR="00801855" w:rsidRPr="00801855" w:rsidRDefault="00052B1F" w:rsidP="00052B1F">
            <w:pPr>
              <w:pStyle w:val="Bullets1"/>
              <w:rPr>
                <w:lang w:val="en-AU"/>
              </w:rPr>
            </w:pPr>
            <w:r w:rsidRPr="00CC64DB">
              <w:t>Appropriate insurance is in place, including professional indemnity, public liability and accident insurance.</w:t>
            </w:r>
          </w:p>
        </w:tc>
      </w:tr>
      <w:tr w:rsidR="00801855" w:rsidRPr="00801855" w14:paraId="529B74E2" w14:textId="77777777" w:rsidTr="00052B1F">
        <w:trPr>
          <w:jc w:val="center"/>
        </w:trPr>
        <w:tc>
          <w:tcPr>
            <w:tcW w:w="6393" w:type="dxa"/>
          </w:tcPr>
          <w:p w14:paraId="4948613F" w14:textId="77777777" w:rsidR="00801855" w:rsidRPr="00801855" w:rsidRDefault="00801855" w:rsidP="00B11239">
            <w:pPr>
              <w:pStyle w:val="Body2"/>
              <w:rPr>
                <w:lang w:val="en-AU"/>
              </w:rPr>
            </w:pPr>
            <w:r w:rsidRPr="00801855">
              <w:rPr>
                <w:lang w:val="en-AU"/>
              </w:rPr>
              <w:t>What indicators are already in place?</w:t>
            </w:r>
          </w:p>
          <w:p w14:paraId="18D16634" w14:textId="77777777" w:rsidR="00801855" w:rsidRPr="00801855" w:rsidRDefault="00801855" w:rsidP="00B11239">
            <w:pPr>
              <w:pStyle w:val="Body2"/>
              <w:rPr>
                <w:lang w:val="en-AU"/>
              </w:rPr>
            </w:pPr>
          </w:p>
          <w:p w14:paraId="344A9668" w14:textId="77777777" w:rsidR="00801855" w:rsidRPr="00801855" w:rsidRDefault="00801855" w:rsidP="00B11239">
            <w:pPr>
              <w:pStyle w:val="Body2"/>
              <w:rPr>
                <w:lang w:val="en-AU"/>
              </w:rPr>
            </w:pPr>
          </w:p>
        </w:tc>
        <w:tc>
          <w:tcPr>
            <w:tcW w:w="6711" w:type="dxa"/>
          </w:tcPr>
          <w:p w14:paraId="2C78F27E" w14:textId="77777777" w:rsidR="00801855" w:rsidRPr="00801855" w:rsidRDefault="00801855" w:rsidP="00B11239">
            <w:pPr>
              <w:pStyle w:val="Body2"/>
              <w:rPr>
                <w:lang w:val="en-AU"/>
              </w:rPr>
            </w:pPr>
            <w:r w:rsidRPr="00801855">
              <w:rPr>
                <w:lang w:val="en-AU"/>
              </w:rPr>
              <w:t>What are the gaps?</w:t>
            </w:r>
          </w:p>
          <w:p w14:paraId="36FB9607" w14:textId="77777777" w:rsidR="00801855" w:rsidRPr="00801855" w:rsidRDefault="00801855" w:rsidP="00B11239">
            <w:pPr>
              <w:pStyle w:val="Body2"/>
              <w:rPr>
                <w:lang w:val="en-AU"/>
              </w:rPr>
            </w:pPr>
          </w:p>
          <w:p w14:paraId="6CB7649B" w14:textId="77777777" w:rsidR="00801855" w:rsidRPr="00801855" w:rsidRDefault="00801855" w:rsidP="00B11239">
            <w:pPr>
              <w:pStyle w:val="Body2"/>
              <w:rPr>
                <w:lang w:val="en-AU"/>
              </w:rPr>
            </w:pPr>
          </w:p>
        </w:tc>
      </w:tr>
      <w:bookmarkEnd w:id="0"/>
    </w:tbl>
    <w:p w14:paraId="336D2710" w14:textId="7D806F25" w:rsidR="00801855" w:rsidRDefault="00801855" w:rsidP="00303697">
      <w:pPr>
        <w:pStyle w:val="Body2"/>
      </w:pPr>
    </w:p>
    <w:p w14:paraId="3EA3A467" w14:textId="77777777" w:rsidR="00801855" w:rsidRPr="00801855" w:rsidRDefault="00801855" w:rsidP="000D74C9">
      <w:pPr>
        <w:pStyle w:val="Title"/>
      </w:pPr>
    </w:p>
    <w:p w14:paraId="2C5A766E" w14:textId="7436BB1D" w:rsidR="00750E19" w:rsidRDefault="005D170A" w:rsidP="009701D1">
      <w:pPr>
        <w:pStyle w:val="Title"/>
      </w:pPr>
      <w:r>
        <w:t xml:space="preserve">Disclaimer: </w:t>
      </w:r>
      <w:r w:rsidRPr="00B53573">
        <w:t>The Transition Support Project believes that the information contained in this publication is correct at the time of publishing (</w:t>
      </w:r>
      <w:r>
        <w:t>Ju</w:t>
      </w:r>
      <w:r w:rsidR="00641294">
        <w:t>ly</w:t>
      </w:r>
      <w:r>
        <w:t xml:space="preserve"> </w:t>
      </w:r>
      <w:r w:rsidRPr="00B53573">
        <w:t xml:space="preserve">2020); however, the Transition Support Project reserves the right to vary any of this publication without further notice. The information provided in this document should not be relied on instead of other legal, medical, financial, or professional advice. </w:t>
      </w:r>
    </w:p>
    <w:sectPr w:rsidR="00750E19" w:rsidSect="00801855">
      <w:headerReference w:type="default" r:id="rId8"/>
      <w:footerReference w:type="default" r:id="rId9"/>
      <w:headerReference w:type="first" r:id="rId10"/>
      <w:footerReference w:type="first" r:id="rId11"/>
      <w:pgSz w:w="16834" w:h="11909" w:orient="landscape" w:code="9"/>
      <w:pgMar w:top="1140" w:right="2580" w:bottom="1140" w:left="1140" w:header="1066" w:footer="1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322AA" w14:textId="77777777" w:rsidR="00801855" w:rsidRDefault="00801855" w:rsidP="000E3FA4">
      <w:r>
        <w:separator/>
      </w:r>
    </w:p>
  </w:endnote>
  <w:endnote w:type="continuationSeparator" w:id="0">
    <w:p w14:paraId="1EEC233C" w14:textId="77777777" w:rsidR="00801855" w:rsidRDefault="00801855" w:rsidP="000E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Rockwell Nova Bold">
    <w:altName w:val="Rockwell Nova"/>
    <w:panose1 w:val="02060803020205020403"/>
    <w:charset w:val="00"/>
    <w:family w:val="roman"/>
    <w:pitch w:val="variable"/>
    <w:sig w:usb0="810002EF" w:usb1="0000000A" w:usb2="00000000" w:usb3="00000000" w:csb0="0000019F" w:csb1="00000000"/>
  </w:font>
  <w:font w:name="Rockwell Nova">
    <w:panose1 w:val="02060503020205020403"/>
    <w:charset w:val="00"/>
    <w:family w:val="roman"/>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Nova Light">
    <w:panose1 w:val="02060303020205020403"/>
    <w:charset w:val="00"/>
    <w:family w:val="roman"/>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FEE17" w14:textId="77777777" w:rsidR="00801855" w:rsidRDefault="00801855" w:rsidP="001E5C1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4"/>
      <w:gridCol w:w="8230"/>
      <w:gridCol w:w="4370"/>
    </w:tblGrid>
    <w:tr w:rsidR="00801855" w:rsidRPr="00CE4E35" w14:paraId="64AB406A" w14:textId="77777777" w:rsidTr="00801855">
      <w:trPr>
        <w:trHeight w:val="259"/>
      </w:trPr>
      <w:tc>
        <w:tcPr>
          <w:tcW w:w="196" w:type="pct"/>
          <w:vAlign w:val="center"/>
        </w:tcPr>
        <w:p w14:paraId="12E822E8" w14:textId="77777777" w:rsidR="00801855" w:rsidRPr="00CE4E35" w:rsidRDefault="00801855" w:rsidP="0080185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6E8FE7A2" w14:textId="4A9ED861" w:rsidR="00801855" w:rsidRPr="00CE4E35" w:rsidRDefault="000D74C9" w:rsidP="00801855">
          <w:pPr>
            <w:rPr>
              <w:rFonts w:ascii="Rockwell Nova" w:hAnsi="Rockwell Nova"/>
              <w:color w:val="FFFFFF" w:themeColor="background1"/>
              <w:sz w:val="16"/>
              <w:szCs w:val="16"/>
            </w:rPr>
          </w:pPr>
          <w:r>
            <w:rPr>
              <w:rFonts w:ascii="Rockwell Nova" w:hAnsi="Rockwell Nova"/>
              <w:color w:val="FFFFFF" w:themeColor="background1"/>
              <w:sz w:val="16"/>
              <w:szCs w:val="16"/>
            </w:rPr>
            <w:t>NDIS Practice Standards and Quality Indicators – Gap analysis template (</w:t>
          </w:r>
          <w:r w:rsidR="00052B1F">
            <w:rPr>
              <w:rFonts w:ascii="Rockwell Nova" w:hAnsi="Rockwell Nova"/>
              <w:color w:val="FFFFFF" w:themeColor="background1"/>
              <w:sz w:val="16"/>
              <w:szCs w:val="16"/>
            </w:rPr>
            <w:t>verification</w:t>
          </w:r>
          <w:r>
            <w:rPr>
              <w:rFonts w:ascii="Rockwell Nova" w:hAnsi="Rockwell Nova"/>
              <w:color w:val="FFFFFF" w:themeColor="background1"/>
              <w:sz w:val="16"/>
              <w:szCs w:val="16"/>
            </w:rPr>
            <w:t>)</w:t>
          </w:r>
        </w:p>
      </w:tc>
      <w:tc>
        <w:tcPr>
          <w:tcW w:w="1666" w:type="pct"/>
          <w:vAlign w:val="center"/>
        </w:tcPr>
        <w:p w14:paraId="21B62B63" w14:textId="77777777" w:rsidR="00801855" w:rsidRPr="00CE4E35" w:rsidRDefault="00801855" w:rsidP="0080185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5A39AABD" w14:textId="5458BFF5" w:rsidR="00801855" w:rsidRPr="001E5C12" w:rsidRDefault="00801855" w:rsidP="001E5C12">
    <w:r w:rsidRPr="001E5C12">
      <w:rPr>
        <w:noProof/>
        <w:lang w:eastAsia="ja-JP" w:bidi="th-TH"/>
      </w:rPr>
      <w:drawing>
        <wp:anchor distT="0" distB="0" distL="114300" distR="114300" simplePos="0" relativeHeight="251680768" behindDoc="1" locked="0" layoutInCell="1" allowOverlap="1" wp14:anchorId="3DBAC275" wp14:editId="298F06DB">
          <wp:simplePos x="0" y="0"/>
          <wp:positionH relativeFrom="page">
            <wp:align>right</wp:align>
          </wp:positionH>
          <wp:positionV relativeFrom="page">
            <wp:align>bottom</wp:align>
          </wp:positionV>
          <wp:extent cx="10677525" cy="630555"/>
          <wp:effectExtent l="0" t="0" r="9525" b="0"/>
          <wp:wrapNone/>
          <wp:docPr id="13" name="Picture 13"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66432" behindDoc="1" locked="0" layoutInCell="1" allowOverlap="1" wp14:anchorId="02F97C8D" wp14:editId="382BD802">
          <wp:simplePos x="0" y="0"/>
          <wp:positionH relativeFrom="page">
            <wp:posOffset>0</wp:posOffset>
          </wp:positionH>
          <wp:positionV relativeFrom="page">
            <wp:posOffset>10058400</wp:posOffset>
          </wp:positionV>
          <wp:extent cx="7562088" cy="630936"/>
          <wp:effectExtent l="0" t="0" r="1270" b="0"/>
          <wp:wrapNone/>
          <wp:docPr id="2" name="Picture 2"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4"/>
      <w:gridCol w:w="8230"/>
      <w:gridCol w:w="4370"/>
    </w:tblGrid>
    <w:tr w:rsidR="00801855" w:rsidRPr="00CE4E35" w14:paraId="415C7D8C" w14:textId="77777777" w:rsidTr="00CE4E35">
      <w:trPr>
        <w:trHeight w:val="259"/>
      </w:trPr>
      <w:tc>
        <w:tcPr>
          <w:tcW w:w="196" w:type="pct"/>
          <w:vAlign w:val="center"/>
        </w:tcPr>
        <w:p w14:paraId="39C716CA" w14:textId="77777777" w:rsidR="00801855" w:rsidRPr="00CE4E35" w:rsidRDefault="00801855" w:rsidP="00CE4E35">
          <w:pPr>
            <w:rPr>
              <w:rFonts w:ascii="Rockwell Nova" w:hAnsi="Rockwell Nova"/>
              <w:color w:val="FFFFFF" w:themeColor="background1"/>
              <w:sz w:val="16"/>
              <w:szCs w:val="16"/>
            </w:rPr>
          </w:pPr>
          <w:r w:rsidRPr="00CE4E35">
            <w:rPr>
              <w:rFonts w:ascii="Rockwell Nova" w:hAnsi="Rockwell Nova"/>
              <w:b/>
              <w:bCs/>
              <w:color w:val="FFFFFF" w:themeColor="background1"/>
              <w:sz w:val="16"/>
              <w:szCs w:val="16"/>
            </w:rPr>
            <w:fldChar w:fldCharType="begin"/>
          </w:r>
          <w:r w:rsidRPr="00CE4E35">
            <w:rPr>
              <w:rFonts w:ascii="Rockwell Nova" w:hAnsi="Rockwell Nova"/>
              <w:b/>
              <w:bCs/>
              <w:color w:val="FFFFFF" w:themeColor="background1"/>
              <w:sz w:val="16"/>
              <w:szCs w:val="16"/>
            </w:rPr>
            <w:instrText xml:space="preserve"> PAGE   \* MERGEFORMAT </w:instrText>
          </w:r>
          <w:r w:rsidRPr="00CE4E35">
            <w:rPr>
              <w:rFonts w:ascii="Rockwell Nova" w:hAnsi="Rockwell Nova"/>
              <w:b/>
              <w:bCs/>
              <w:color w:val="FFFFFF" w:themeColor="background1"/>
              <w:sz w:val="16"/>
              <w:szCs w:val="16"/>
            </w:rPr>
            <w:fldChar w:fldCharType="separate"/>
          </w:r>
          <w:r>
            <w:rPr>
              <w:rFonts w:ascii="Rockwell Nova" w:hAnsi="Rockwell Nova"/>
              <w:b/>
              <w:bCs/>
              <w:noProof/>
              <w:color w:val="FFFFFF" w:themeColor="background1"/>
              <w:sz w:val="16"/>
              <w:szCs w:val="16"/>
            </w:rPr>
            <w:t>1</w:t>
          </w:r>
          <w:r w:rsidRPr="00CE4E35">
            <w:rPr>
              <w:rFonts w:ascii="Rockwell Nova" w:hAnsi="Rockwell Nova"/>
              <w:b/>
              <w:bCs/>
              <w:noProof/>
              <w:color w:val="FFFFFF" w:themeColor="background1"/>
              <w:sz w:val="16"/>
              <w:szCs w:val="16"/>
            </w:rPr>
            <w:fldChar w:fldCharType="end"/>
          </w:r>
          <w:r w:rsidRPr="00CE4E35">
            <w:rPr>
              <w:rFonts w:ascii="Rockwell Nova" w:hAnsi="Rockwell Nova"/>
              <w:noProof/>
              <w:color w:val="FFFFFF" w:themeColor="background1"/>
              <w:sz w:val="16"/>
              <w:szCs w:val="16"/>
            </w:rPr>
            <w:t xml:space="preserve"> |</w:t>
          </w:r>
        </w:p>
      </w:tc>
      <w:tc>
        <w:tcPr>
          <w:tcW w:w="3138" w:type="pct"/>
          <w:vAlign w:val="center"/>
        </w:tcPr>
        <w:p w14:paraId="25C2150E" w14:textId="4C69C93B" w:rsidR="00801855" w:rsidRPr="00CE4E35" w:rsidRDefault="000D74C9" w:rsidP="00CE4E35">
          <w:pPr>
            <w:rPr>
              <w:rFonts w:ascii="Rockwell Nova" w:hAnsi="Rockwell Nova"/>
              <w:color w:val="FFFFFF" w:themeColor="background1"/>
              <w:sz w:val="16"/>
              <w:szCs w:val="16"/>
            </w:rPr>
          </w:pPr>
          <w:r>
            <w:rPr>
              <w:rFonts w:ascii="Rockwell Nova" w:hAnsi="Rockwell Nova"/>
              <w:color w:val="FFFFFF" w:themeColor="background1"/>
              <w:sz w:val="16"/>
              <w:szCs w:val="16"/>
            </w:rPr>
            <w:t>NDIS Practice Standards and Quality Indicators – Gap analysis template (</w:t>
          </w:r>
          <w:r w:rsidR="00052B1F">
            <w:rPr>
              <w:rFonts w:ascii="Rockwell Nova" w:hAnsi="Rockwell Nova"/>
              <w:color w:val="FFFFFF" w:themeColor="background1"/>
              <w:sz w:val="16"/>
              <w:szCs w:val="16"/>
            </w:rPr>
            <w:t>verification</w:t>
          </w:r>
          <w:r>
            <w:rPr>
              <w:rFonts w:ascii="Rockwell Nova" w:hAnsi="Rockwell Nova"/>
              <w:color w:val="FFFFFF" w:themeColor="background1"/>
              <w:sz w:val="16"/>
              <w:szCs w:val="16"/>
            </w:rPr>
            <w:t>)</w:t>
          </w:r>
        </w:p>
      </w:tc>
      <w:tc>
        <w:tcPr>
          <w:tcW w:w="1666" w:type="pct"/>
          <w:vAlign w:val="center"/>
        </w:tcPr>
        <w:p w14:paraId="21AE937A" w14:textId="77777777" w:rsidR="00801855" w:rsidRPr="00CE4E35" w:rsidRDefault="00801855" w:rsidP="00CE4E35">
          <w:pPr>
            <w:jc w:val="right"/>
            <w:rPr>
              <w:rFonts w:ascii="Rockwell Nova Light" w:hAnsi="Rockwell Nova Light"/>
              <w:color w:val="FFFFFF" w:themeColor="background1"/>
              <w:sz w:val="16"/>
              <w:szCs w:val="16"/>
            </w:rPr>
          </w:pPr>
          <w:r w:rsidRPr="00CE4E35">
            <w:rPr>
              <w:rFonts w:ascii="Rockwell Nova Light" w:hAnsi="Rockwell Nova Light"/>
              <w:color w:val="FFFFFF" w:themeColor="background1"/>
              <w:sz w:val="16"/>
              <w:szCs w:val="16"/>
            </w:rPr>
            <w:t>tspforall.com.au</w:t>
          </w:r>
        </w:p>
      </w:tc>
    </w:tr>
  </w:tbl>
  <w:p w14:paraId="14492F9D" w14:textId="442257B3" w:rsidR="00801855" w:rsidRDefault="00801855" w:rsidP="00CE4E35">
    <w:r w:rsidRPr="001E5C12">
      <w:rPr>
        <w:noProof/>
        <w:lang w:eastAsia="ja-JP" w:bidi="th-TH"/>
      </w:rPr>
      <w:drawing>
        <wp:anchor distT="0" distB="0" distL="114300" distR="114300" simplePos="0" relativeHeight="251678720" behindDoc="1" locked="0" layoutInCell="1" allowOverlap="1" wp14:anchorId="748B56C6" wp14:editId="208CE796">
          <wp:simplePos x="0" y="0"/>
          <wp:positionH relativeFrom="page">
            <wp:posOffset>1028700</wp:posOffset>
          </wp:positionH>
          <wp:positionV relativeFrom="page">
            <wp:posOffset>7623810</wp:posOffset>
          </wp:positionV>
          <wp:extent cx="10677525" cy="630555"/>
          <wp:effectExtent l="0" t="0" r="9525" b="0"/>
          <wp:wrapNone/>
          <wp:docPr id="10" name="Picture 10"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72576" behindDoc="1" locked="0" layoutInCell="1" allowOverlap="1" wp14:anchorId="53B9800B" wp14:editId="0E7201DD">
          <wp:simplePos x="0" y="0"/>
          <wp:positionH relativeFrom="page">
            <wp:posOffset>876300</wp:posOffset>
          </wp:positionH>
          <wp:positionV relativeFrom="page">
            <wp:posOffset>7471410</wp:posOffset>
          </wp:positionV>
          <wp:extent cx="10677525" cy="630555"/>
          <wp:effectExtent l="0" t="0" r="9525" b="0"/>
          <wp:wrapNone/>
          <wp:docPr id="6" name="Picture 6"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70528" behindDoc="1" locked="0" layoutInCell="1" allowOverlap="1" wp14:anchorId="78CBA7DA" wp14:editId="37F35B58">
          <wp:simplePos x="0" y="0"/>
          <wp:positionH relativeFrom="page">
            <wp:posOffset>723900</wp:posOffset>
          </wp:positionH>
          <wp:positionV relativeFrom="page">
            <wp:posOffset>7319010</wp:posOffset>
          </wp:positionV>
          <wp:extent cx="10677525" cy="630555"/>
          <wp:effectExtent l="0" t="0" r="9525" b="0"/>
          <wp:wrapNone/>
          <wp:docPr id="5" name="Picture 5"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68480" behindDoc="1" locked="0" layoutInCell="1" allowOverlap="1" wp14:anchorId="282B673F" wp14:editId="6837F203">
          <wp:simplePos x="0" y="0"/>
          <wp:positionH relativeFrom="page">
            <wp:align>right</wp:align>
          </wp:positionH>
          <wp:positionV relativeFrom="page">
            <wp:align>bottom</wp:align>
          </wp:positionV>
          <wp:extent cx="10677525" cy="630555"/>
          <wp:effectExtent l="0" t="0" r="9525" b="0"/>
          <wp:wrapNone/>
          <wp:docPr id="32" name="Picture 32"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7752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C12">
      <w:rPr>
        <w:noProof/>
        <w:lang w:eastAsia="ja-JP" w:bidi="th-TH"/>
      </w:rPr>
      <w:drawing>
        <wp:anchor distT="0" distB="0" distL="114300" distR="114300" simplePos="0" relativeHeight="251657216" behindDoc="1" locked="0" layoutInCell="1" allowOverlap="1" wp14:anchorId="69D662D3" wp14:editId="609A1663">
          <wp:simplePos x="0" y="0"/>
          <wp:positionH relativeFrom="page">
            <wp:posOffset>0</wp:posOffset>
          </wp:positionH>
          <wp:positionV relativeFrom="page">
            <wp:posOffset>10058400</wp:posOffset>
          </wp:positionV>
          <wp:extent cx="7562088" cy="630936"/>
          <wp:effectExtent l="0" t="0" r="1270" b="0"/>
          <wp:wrapNone/>
          <wp:docPr id="4" name="Picture 4" descr="C:\Users\Bernard Lustado\Documents\Upwork 2020\Emma Crow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rnard Lustado\Documents\Upwork 2020\Emma Crowe\foo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088" cy="6309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1421" w14:textId="77777777" w:rsidR="00801855" w:rsidRDefault="00801855" w:rsidP="000E3FA4">
      <w:r>
        <w:separator/>
      </w:r>
    </w:p>
  </w:footnote>
  <w:footnote w:type="continuationSeparator" w:id="0">
    <w:p w14:paraId="55B63A6D" w14:textId="77777777" w:rsidR="00801855" w:rsidRDefault="00801855" w:rsidP="000E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2F49" w14:textId="4B324ADA" w:rsidR="00801855" w:rsidRDefault="00801855">
    <w:r>
      <w:rPr>
        <w:noProof/>
        <w:lang w:eastAsia="ja-JP" w:bidi="th-TH"/>
      </w:rPr>
      <mc:AlternateContent>
        <mc:Choice Requires="wps">
          <w:drawing>
            <wp:anchor distT="0" distB="0" distL="114300" distR="114300" simplePos="0" relativeHeight="251660288" behindDoc="1" locked="1" layoutInCell="0" allowOverlap="1" wp14:anchorId="260A654F" wp14:editId="636E6EE6">
              <wp:simplePos x="0" y="0"/>
              <wp:positionH relativeFrom="page">
                <wp:align>left</wp:align>
              </wp:positionH>
              <wp:positionV relativeFrom="page">
                <wp:align>top</wp:align>
              </wp:positionV>
              <wp:extent cx="4791075" cy="6108065"/>
              <wp:effectExtent l="0" t="0" r="9525" b="6985"/>
              <wp:wrapNone/>
              <wp:docPr id="30"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FE073" id="Rectangle 28" o:spid="_x0000_s1026" style="position:absolute;margin-left:0;margin-top:0;width:377.25pt;height:480.9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yc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61E9" w14:textId="0423B143" w:rsidR="00801855" w:rsidRPr="00CE4E35" w:rsidRDefault="00DB74B0" w:rsidP="00CE4E35">
    <w:r>
      <w:drawing>
        <wp:anchor distT="0" distB="0" distL="114300" distR="114300" simplePos="0" relativeHeight="251682816" behindDoc="0" locked="0" layoutInCell="1" allowOverlap="1" wp14:anchorId="6853FC0D" wp14:editId="7A251C0D">
          <wp:simplePos x="0" y="0"/>
          <wp:positionH relativeFrom="column">
            <wp:posOffset>8105775</wp:posOffset>
          </wp:positionH>
          <wp:positionV relativeFrom="paragraph">
            <wp:posOffset>-409575</wp:posOffset>
          </wp:positionV>
          <wp:extent cx="1186815" cy="1203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86815" cy="1203325"/>
                  </a:xfrm>
                  <a:prstGeom prst="rect">
                    <a:avLst/>
                  </a:prstGeom>
                </pic:spPr>
              </pic:pic>
            </a:graphicData>
          </a:graphic>
          <wp14:sizeRelH relativeFrom="margin">
            <wp14:pctWidth>0</wp14:pctWidth>
          </wp14:sizeRelH>
          <wp14:sizeRelV relativeFrom="margin">
            <wp14:pctHeight>0</wp14:pctHeight>
          </wp14:sizeRelV>
        </wp:anchor>
      </w:drawing>
    </w:r>
    <w:r w:rsidR="00801855">
      <w:rPr>
        <w:noProof/>
      </w:rPr>
      <mc:AlternateContent>
        <mc:Choice Requires="wps">
          <w:drawing>
            <wp:anchor distT="0" distB="0" distL="114300" distR="114300" simplePos="0" relativeHeight="251651072" behindDoc="1" locked="1" layoutInCell="0" allowOverlap="1" wp14:anchorId="52FB97DF" wp14:editId="3A73B641">
              <wp:simplePos x="0" y="0"/>
              <wp:positionH relativeFrom="page">
                <wp:align>left</wp:align>
              </wp:positionH>
              <wp:positionV relativeFrom="page">
                <wp:posOffset>19050</wp:posOffset>
              </wp:positionV>
              <wp:extent cx="4791075" cy="6108065"/>
              <wp:effectExtent l="0" t="0" r="9525" b="6985"/>
              <wp:wrapNone/>
              <wp:docPr id="29" name="Rectangle 28"/>
              <wp:cNvGraphicFramePr/>
              <a:graphic xmlns:a="http://schemas.openxmlformats.org/drawingml/2006/main">
                <a:graphicData uri="http://schemas.microsoft.com/office/word/2010/wordprocessingShape">
                  <wps:wsp>
                    <wps:cNvSpPr/>
                    <wps:spPr>
                      <a:xfrm>
                        <a:off x="0" y="0"/>
                        <a:ext cx="4791075" cy="6108065"/>
                      </a:xfrm>
                      <a:custGeom>
                        <a:avLst/>
                        <a:gdLst>
                          <a:gd name="connsiteX0" fmla="*/ 0 w 4791456"/>
                          <a:gd name="connsiteY0" fmla="*/ 0 h 6108192"/>
                          <a:gd name="connsiteX1" fmla="*/ 4791456 w 4791456"/>
                          <a:gd name="connsiteY1" fmla="*/ 0 h 6108192"/>
                          <a:gd name="connsiteX2" fmla="*/ 4791456 w 4791456"/>
                          <a:gd name="connsiteY2" fmla="*/ 6108192 h 6108192"/>
                          <a:gd name="connsiteX3" fmla="*/ 0 w 4791456"/>
                          <a:gd name="connsiteY3" fmla="*/ 6108192 h 6108192"/>
                          <a:gd name="connsiteX4" fmla="*/ 0 w 4791456"/>
                          <a:gd name="connsiteY4" fmla="*/ 0 h 6108192"/>
                          <a:gd name="connsiteX0" fmla="*/ 0 w 4791456"/>
                          <a:gd name="connsiteY0" fmla="*/ 5977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5977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0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3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4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6114169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0 w 4791456"/>
                          <a:gd name="connsiteY5" fmla="*/ 2797167 h 6114169"/>
                          <a:gd name="connsiteX6" fmla="*/ 0 w 4791456"/>
                          <a:gd name="connsiteY6"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866657 w 4791456"/>
                          <a:gd name="connsiteY5" fmla="*/ 3878977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4791456 w 4791456"/>
                          <a:gd name="connsiteY3" fmla="*/ 6114169 h 6114169"/>
                          <a:gd name="connsiteX4" fmla="*/ 2635835 w 4791456"/>
                          <a:gd name="connsiteY4" fmla="*/ 6114169 h 6114169"/>
                          <a:gd name="connsiteX5" fmla="*/ 1243205 w 4791456"/>
                          <a:gd name="connsiteY5" fmla="*/ 3430713 h 6114169"/>
                          <a:gd name="connsiteX6" fmla="*/ 0 w 4791456"/>
                          <a:gd name="connsiteY6" fmla="*/ 2797167 h 6114169"/>
                          <a:gd name="connsiteX7" fmla="*/ 0 w 4791456"/>
                          <a:gd name="connsiteY7" fmla="*/ 1655588 h 6114169"/>
                          <a:gd name="connsiteX0" fmla="*/ 0 w 4791456"/>
                          <a:gd name="connsiteY0" fmla="*/ 1655588 h 6114169"/>
                          <a:gd name="connsiteX1" fmla="*/ 4470400 w 4791456"/>
                          <a:gd name="connsiteY1" fmla="*/ 0 h 6114169"/>
                          <a:gd name="connsiteX2" fmla="*/ 4791456 w 4791456"/>
                          <a:gd name="connsiteY2" fmla="*/ 5977 h 6114169"/>
                          <a:gd name="connsiteX3" fmla="*/ 2635835 w 4791456"/>
                          <a:gd name="connsiteY3" fmla="*/ 6114169 h 6114169"/>
                          <a:gd name="connsiteX4" fmla="*/ 1243205 w 4791456"/>
                          <a:gd name="connsiteY4" fmla="*/ 3430713 h 6114169"/>
                          <a:gd name="connsiteX5" fmla="*/ 0 w 4791456"/>
                          <a:gd name="connsiteY5" fmla="*/ 2797167 h 6114169"/>
                          <a:gd name="connsiteX6" fmla="*/ 0 w 4791456"/>
                          <a:gd name="connsiteY6" fmla="*/ 1655588 h 6114169"/>
                          <a:gd name="connsiteX0" fmla="*/ 0 w 4791456"/>
                          <a:gd name="connsiteY0" fmla="*/ 1649611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49611 h 6108192"/>
                          <a:gd name="connsiteX0" fmla="*/ 0 w 4791456"/>
                          <a:gd name="connsiteY0" fmla="*/ 1625798 h 6108192"/>
                          <a:gd name="connsiteX1" fmla="*/ 4467587 w 4791456"/>
                          <a:gd name="connsiteY1" fmla="*/ 2465 h 6108192"/>
                          <a:gd name="connsiteX2" fmla="*/ 4791456 w 4791456"/>
                          <a:gd name="connsiteY2" fmla="*/ 0 h 6108192"/>
                          <a:gd name="connsiteX3" fmla="*/ 2635835 w 4791456"/>
                          <a:gd name="connsiteY3" fmla="*/ 6108192 h 6108192"/>
                          <a:gd name="connsiteX4" fmla="*/ 1243205 w 4791456"/>
                          <a:gd name="connsiteY4" fmla="*/ 3424736 h 6108192"/>
                          <a:gd name="connsiteX5" fmla="*/ 0 w 4791456"/>
                          <a:gd name="connsiteY5" fmla="*/ 2791190 h 6108192"/>
                          <a:gd name="connsiteX6" fmla="*/ 0 w 4791456"/>
                          <a:gd name="connsiteY6" fmla="*/ 1625798 h 6108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791456" h="6108192">
                            <a:moveTo>
                              <a:pt x="0" y="1625798"/>
                            </a:moveTo>
                            <a:lnTo>
                              <a:pt x="4467587" y="2465"/>
                            </a:lnTo>
                            <a:lnTo>
                              <a:pt x="4791456" y="0"/>
                            </a:lnTo>
                            <a:lnTo>
                              <a:pt x="2635835" y="6108192"/>
                            </a:lnTo>
                            <a:lnTo>
                              <a:pt x="1243205" y="3424736"/>
                            </a:lnTo>
                            <a:lnTo>
                              <a:pt x="0" y="2791190"/>
                            </a:lnTo>
                            <a:lnTo>
                              <a:pt x="0" y="1625798"/>
                            </a:lnTo>
                            <a:close/>
                          </a:path>
                        </a:pathLst>
                      </a:custGeom>
                      <a:solidFill>
                        <a:schemeClr val="tx1">
                          <a:alpha val="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4F01B" id="Rectangle 28" o:spid="_x0000_s1026" style="position:absolute;margin-left:0;margin-top:1.5pt;width:377.25pt;height:480.9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4791456,610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" o:allowincell="f" path="m,1625798l4467587,2465,4791456,,2635835,6108192,1243205,3424736,,2791190,,1625798xe" fillcolor="black [3213]" stroked="f" strokeweight="2pt">
              <v:fill opacity="2056f"/>
              <v:path arrowok="t" o:connecttype="custom" o:connectlocs="0,1625764;4467232,2465;4791075,0;2635625,6108065;1243106,3424665;0,2791132;0,1625764" o:connectangles="0,0,0,0,0,0,0"/>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656E4"/>
    <w:multiLevelType w:val="hybridMultilevel"/>
    <w:tmpl w:val="7966B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FD2FF4"/>
    <w:multiLevelType w:val="hybridMultilevel"/>
    <w:tmpl w:val="37C01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D02CFA"/>
    <w:multiLevelType w:val="hybridMultilevel"/>
    <w:tmpl w:val="F334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55FA6"/>
    <w:multiLevelType w:val="hybridMultilevel"/>
    <w:tmpl w:val="50CAA996"/>
    <w:lvl w:ilvl="0" w:tplc="0C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91F65D2"/>
    <w:multiLevelType w:val="hybridMultilevel"/>
    <w:tmpl w:val="EF3EBEB8"/>
    <w:lvl w:ilvl="0" w:tplc="0C090017">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06"/>
    <w:rsid w:val="00000E27"/>
    <w:rsid w:val="00012BDD"/>
    <w:rsid w:val="000250C5"/>
    <w:rsid w:val="000340CB"/>
    <w:rsid w:val="00052B1F"/>
    <w:rsid w:val="000631A5"/>
    <w:rsid w:val="000A64B2"/>
    <w:rsid w:val="000D74C9"/>
    <w:rsid w:val="000E3FA4"/>
    <w:rsid w:val="0010554F"/>
    <w:rsid w:val="001E1B53"/>
    <w:rsid w:val="001E5C12"/>
    <w:rsid w:val="001F1805"/>
    <w:rsid w:val="00260C45"/>
    <w:rsid w:val="002642CE"/>
    <w:rsid w:val="00281D73"/>
    <w:rsid w:val="002933B7"/>
    <w:rsid w:val="002E68CE"/>
    <w:rsid w:val="00303697"/>
    <w:rsid w:val="00320A16"/>
    <w:rsid w:val="003735FD"/>
    <w:rsid w:val="004625F8"/>
    <w:rsid w:val="004F1750"/>
    <w:rsid w:val="00514B49"/>
    <w:rsid w:val="005D170A"/>
    <w:rsid w:val="005E1C33"/>
    <w:rsid w:val="00641294"/>
    <w:rsid w:val="00671267"/>
    <w:rsid w:val="00676381"/>
    <w:rsid w:val="00712D17"/>
    <w:rsid w:val="00750E19"/>
    <w:rsid w:val="00771401"/>
    <w:rsid w:val="00801855"/>
    <w:rsid w:val="00822F06"/>
    <w:rsid w:val="0089769A"/>
    <w:rsid w:val="008D1575"/>
    <w:rsid w:val="009020F4"/>
    <w:rsid w:val="00920EF5"/>
    <w:rsid w:val="00964BC0"/>
    <w:rsid w:val="00966EA6"/>
    <w:rsid w:val="009701D1"/>
    <w:rsid w:val="009B0FE8"/>
    <w:rsid w:val="009B5A75"/>
    <w:rsid w:val="009B7114"/>
    <w:rsid w:val="00A0177B"/>
    <w:rsid w:val="00A32726"/>
    <w:rsid w:val="00A47901"/>
    <w:rsid w:val="00AC2B83"/>
    <w:rsid w:val="00AD3260"/>
    <w:rsid w:val="00B03791"/>
    <w:rsid w:val="00B11239"/>
    <w:rsid w:val="00B124A6"/>
    <w:rsid w:val="00B3372D"/>
    <w:rsid w:val="00B473AB"/>
    <w:rsid w:val="00BA3D2A"/>
    <w:rsid w:val="00BB61B3"/>
    <w:rsid w:val="00BD7A18"/>
    <w:rsid w:val="00BE5E04"/>
    <w:rsid w:val="00BF6E66"/>
    <w:rsid w:val="00C22E37"/>
    <w:rsid w:val="00C74E06"/>
    <w:rsid w:val="00CA6C1F"/>
    <w:rsid w:val="00CC0F58"/>
    <w:rsid w:val="00CE4E35"/>
    <w:rsid w:val="00D16283"/>
    <w:rsid w:val="00D35AFE"/>
    <w:rsid w:val="00DB74B0"/>
    <w:rsid w:val="00E123F9"/>
    <w:rsid w:val="00E756F4"/>
    <w:rsid w:val="00F33A76"/>
    <w:rsid w:val="00F8584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39A1F"/>
  <w15:docId w15:val="{8C1E63B3-2BC0-41A7-B58B-466DFEB3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A4"/>
    <w:pPr>
      <w:spacing w:after="0" w:line="240" w:lineRule="auto"/>
    </w:pPr>
    <w:rPr>
      <w:rFonts w:ascii="Roboto Light" w:hAnsi="Roboto Light"/>
      <w:color w:val="003A70"/>
      <w:sz w:val="20"/>
      <w:szCs w:val="20"/>
    </w:rPr>
  </w:style>
  <w:style w:type="paragraph" w:styleId="Heading1">
    <w:name w:val="heading 1"/>
    <w:basedOn w:val="Normal"/>
    <w:next w:val="Normal"/>
    <w:link w:val="Heading1Char"/>
    <w:uiPriority w:val="9"/>
    <w:qFormat/>
    <w:rsid w:val="00AC2B83"/>
    <w:pPr>
      <w:spacing w:before="520" w:after="180"/>
      <w:outlineLvl w:val="0"/>
    </w:pPr>
    <w:rPr>
      <w:rFonts w:ascii="Rockwell Nova Bold" w:hAnsi="Rockwell Nova Bold"/>
      <w:b/>
      <w:bCs/>
      <w:kern w:val="52"/>
      <w:sz w:val="52"/>
      <w:szCs w:val="52"/>
    </w:rPr>
  </w:style>
  <w:style w:type="paragraph" w:styleId="Heading2">
    <w:name w:val="heading 2"/>
    <w:basedOn w:val="Normal"/>
    <w:next w:val="Normal"/>
    <w:link w:val="Heading2Char"/>
    <w:uiPriority w:val="9"/>
    <w:unhideWhenUsed/>
    <w:qFormat/>
    <w:rsid w:val="00C74E06"/>
    <w:pPr>
      <w:spacing w:before="240"/>
      <w:outlineLvl w:val="1"/>
    </w:pPr>
    <w:rPr>
      <w:rFonts w:ascii="Rockwell Nova" w:hAnsi="Rockwell Nova"/>
      <w:color w:val="00B2A9"/>
      <w:kern w:val="52"/>
      <w:sz w:val="24"/>
    </w:rPr>
  </w:style>
  <w:style w:type="paragraph" w:styleId="Heading3">
    <w:name w:val="heading 3"/>
    <w:basedOn w:val="Normal"/>
    <w:next w:val="Normal"/>
    <w:link w:val="Heading3Char"/>
    <w:uiPriority w:val="9"/>
    <w:unhideWhenUsed/>
    <w:qFormat/>
    <w:rsid w:val="00B11239"/>
    <w:pPr>
      <w:keepNext/>
      <w:keepLines/>
      <w:outlineLvl w:val="2"/>
    </w:pPr>
    <w:rPr>
      <w:rFonts w:ascii="Rockwell Nova" w:eastAsiaTheme="majorEastAsia" w:hAnsi="Rockwell Nova" w:cstheme="majorBidi"/>
      <w:color w:val="00B2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EF5"/>
    <w:rPr>
      <w:color w:val="0000FF" w:themeColor="hyperlink"/>
      <w:u w:val="single"/>
    </w:rPr>
  </w:style>
  <w:style w:type="character" w:customStyle="1" w:styleId="Heading1Char">
    <w:name w:val="Heading 1 Char"/>
    <w:basedOn w:val="DefaultParagraphFont"/>
    <w:link w:val="Heading1"/>
    <w:uiPriority w:val="9"/>
    <w:rsid w:val="00AC2B83"/>
    <w:rPr>
      <w:rFonts w:ascii="Rockwell Nova Bold" w:hAnsi="Rockwell Nova Bold"/>
      <w:b/>
      <w:bCs/>
      <w:color w:val="003A70"/>
      <w:kern w:val="52"/>
      <w:sz w:val="52"/>
      <w:szCs w:val="52"/>
    </w:rPr>
  </w:style>
  <w:style w:type="character" w:customStyle="1" w:styleId="Heading2Char">
    <w:name w:val="Heading 2 Char"/>
    <w:basedOn w:val="DefaultParagraphFont"/>
    <w:link w:val="Heading2"/>
    <w:uiPriority w:val="9"/>
    <w:rsid w:val="00C74E06"/>
    <w:rPr>
      <w:rFonts w:ascii="Rockwell Nova" w:hAnsi="Rockwell Nova"/>
      <w:color w:val="00B2A9"/>
      <w:kern w:val="52"/>
      <w:sz w:val="24"/>
      <w:szCs w:val="20"/>
    </w:rPr>
  </w:style>
  <w:style w:type="paragraph" w:customStyle="1" w:styleId="Body1">
    <w:name w:val="Body1"/>
    <w:basedOn w:val="Normal"/>
    <w:link w:val="Body1Char"/>
    <w:qFormat/>
    <w:rsid w:val="00AC2B83"/>
    <w:pPr>
      <w:spacing w:after="340"/>
    </w:pPr>
    <w:rPr>
      <w:kern w:val="24"/>
      <w:sz w:val="24"/>
      <w:szCs w:val="24"/>
    </w:rPr>
  </w:style>
  <w:style w:type="paragraph" w:customStyle="1" w:styleId="Body2">
    <w:name w:val="Body2"/>
    <w:basedOn w:val="Normal"/>
    <w:link w:val="Body2Char"/>
    <w:qFormat/>
    <w:rsid w:val="00B11239"/>
    <w:pPr>
      <w:spacing w:line="276" w:lineRule="auto"/>
    </w:pPr>
  </w:style>
  <w:style w:type="character" w:customStyle="1" w:styleId="Body1Char">
    <w:name w:val="Body1 Char"/>
    <w:basedOn w:val="DefaultParagraphFont"/>
    <w:link w:val="Body1"/>
    <w:rsid w:val="00AC2B83"/>
    <w:rPr>
      <w:rFonts w:ascii="Roboto Light" w:hAnsi="Roboto Light"/>
      <w:color w:val="003A70"/>
      <w:kern w:val="24"/>
      <w:sz w:val="24"/>
      <w:szCs w:val="24"/>
    </w:rPr>
  </w:style>
  <w:style w:type="character" w:customStyle="1" w:styleId="Body2Char">
    <w:name w:val="Body2 Char"/>
    <w:basedOn w:val="DefaultParagraphFont"/>
    <w:link w:val="Body2"/>
    <w:rsid w:val="00B11239"/>
    <w:rPr>
      <w:rFonts w:ascii="Roboto Light" w:hAnsi="Roboto Light"/>
      <w:color w:val="003A70"/>
      <w:sz w:val="20"/>
      <w:szCs w:val="20"/>
    </w:rPr>
  </w:style>
  <w:style w:type="paragraph" w:customStyle="1" w:styleId="Bullets1">
    <w:name w:val="Bullets1"/>
    <w:basedOn w:val="Normal"/>
    <w:link w:val="Bullets1Char"/>
    <w:qFormat/>
    <w:rsid w:val="00712D17"/>
    <w:pPr>
      <w:numPr>
        <w:numId w:val="1"/>
      </w:numPr>
      <w:spacing w:before="60"/>
      <w:ind w:hanging="274"/>
    </w:pPr>
  </w:style>
  <w:style w:type="paragraph" w:styleId="Title">
    <w:name w:val="Title"/>
    <w:basedOn w:val="Normal"/>
    <w:next w:val="Normal"/>
    <w:link w:val="TitleChar"/>
    <w:uiPriority w:val="10"/>
    <w:qFormat/>
    <w:rsid w:val="00712D17"/>
    <w:pPr>
      <w:tabs>
        <w:tab w:val="center" w:pos="4680"/>
        <w:tab w:val="right" w:pos="9360"/>
      </w:tabs>
    </w:pPr>
    <w:rPr>
      <w:rFonts w:ascii="Rockwell Nova" w:hAnsi="Rockwell Nova"/>
      <w:noProof/>
      <w:kern w:val="20"/>
      <w:lang w:eastAsia="ja-JP" w:bidi="th-TH"/>
    </w:rPr>
  </w:style>
  <w:style w:type="character" w:customStyle="1" w:styleId="Bullets1Char">
    <w:name w:val="Bullets1 Char"/>
    <w:basedOn w:val="DefaultParagraphFont"/>
    <w:link w:val="Bullets1"/>
    <w:rsid w:val="00712D17"/>
    <w:rPr>
      <w:rFonts w:ascii="Roboto Light" w:hAnsi="Roboto Light"/>
      <w:color w:val="003A70"/>
      <w:sz w:val="20"/>
      <w:szCs w:val="20"/>
    </w:rPr>
  </w:style>
  <w:style w:type="character" w:customStyle="1" w:styleId="TitleChar">
    <w:name w:val="Title Char"/>
    <w:basedOn w:val="DefaultParagraphFont"/>
    <w:link w:val="Title"/>
    <w:uiPriority w:val="10"/>
    <w:rsid w:val="00CE4E35"/>
    <w:rPr>
      <w:rFonts w:ascii="Rockwell Nova" w:hAnsi="Rockwell Nova"/>
      <w:noProof/>
      <w:color w:val="003A70"/>
      <w:kern w:val="20"/>
      <w:sz w:val="20"/>
      <w:szCs w:val="20"/>
      <w:lang w:eastAsia="ja-JP" w:bidi="th-TH"/>
    </w:rPr>
  </w:style>
  <w:style w:type="character" w:customStyle="1" w:styleId="Heading3Char">
    <w:name w:val="Heading 3 Char"/>
    <w:basedOn w:val="DefaultParagraphFont"/>
    <w:link w:val="Heading3"/>
    <w:uiPriority w:val="9"/>
    <w:rsid w:val="00B11239"/>
    <w:rPr>
      <w:rFonts w:ascii="Rockwell Nova" w:eastAsiaTheme="majorEastAsia" w:hAnsi="Rockwell Nova" w:cstheme="majorBidi"/>
      <w:color w:val="00B2A9"/>
      <w:sz w:val="20"/>
      <w:szCs w:val="20"/>
    </w:rPr>
  </w:style>
  <w:style w:type="paragraph" w:styleId="Subtitle">
    <w:name w:val="Subtitle"/>
    <w:aliases w:val="Italic text"/>
    <w:basedOn w:val="Normal"/>
    <w:next w:val="Normal"/>
    <w:link w:val="SubtitleChar"/>
    <w:uiPriority w:val="11"/>
    <w:qFormat/>
    <w:rsid w:val="00A32726"/>
    <w:pPr>
      <w:numPr>
        <w:ilvl w:val="1"/>
      </w:numPr>
      <w:spacing w:after="160"/>
    </w:pPr>
    <w:rPr>
      <w:rFonts w:eastAsiaTheme="minorEastAsia"/>
      <w:i/>
      <w:color w:val="7A4282"/>
      <w:szCs w:val="22"/>
    </w:rPr>
  </w:style>
  <w:style w:type="character" w:customStyle="1" w:styleId="SubtitleChar">
    <w:name w:val="Subtitle Char"/>
    <w:aliases w:val="Italic text Char"/>
    <w:basedOn w:val="DefaultParagraphFont"/>
    <w:link w:val="Subtitle"/>
    <w:uiPriority w:val="11"/>
    <w:rsid w:val="00A32726"/>
    <w:rPr>
      <w:rFonts w:ascii="Roboto Light" w:eastAsiaTheme="minorEastAsia" w:hAnsi="Roboto Light"/>
      <w:i/>
      <w:color w:val="7A4282"/>
      <w:sz w:val="20"/>
    </w:rPr>
  </w:style>
  <w:style w:type="paragraph" w:styleId="Header">
    <w:name w:val="header"/>
    <w:basedOn w:val="Normal"/>
    <w:link w:val="HeaderChar"/>
    <w:uiPriority w:val="99"/>
    <w:unhideWhenUsed/>
    <w:rsid w:val="00822F06"/>
    <w:pPr>
      <w:tabs>
        <w:tab w:val="center" w:pos="4513"/>
        <w:tab w:val="right" w:pos="9026"/>
      </w:tabs>
    </w:pPr>
  </w:style>
  <w:style w:type="character" w:customStyle="1" w:styleId="HeaderChar">
    <w:name w:val="Header Char"/>
    <w:basedOn w:val="DefaultParagraphFont"/>
    <w:link w:val="Header"/>
    <w:uiPriority w:val="99"/>
    <w:rsid w:val="00822F06"/>
    <w:rPr>
      <w:rFonts w:ascii="Roboto Light" w:hAnsi="Roboto Light"/>
      <w:color w:val="003A70"/>
      <w:sz w:val="20"/>
      <w:szCs w:val="20"/>
    </w:rPr>
  </w:style>
  <w:style w:type="paragraph" w:styleId="Footer">
    <w:name w:val="footer"/>
    <w:basedOn w:val="Normal"/>
    <w:link w:val="FooterChar"/>
    <w:uiPriority w:val="99"/>
    <w:unhideWhenUsed/>
    <w:rsid w:val="00822F06"/>
    <w:pPr>
      <w:tabs>
        <w:tab w:val="center" w:pos="4513"/>
        <w:tab w:val="right" w:pos="9026"/>
      </w:tabs>
    </w:pPr>
  </w:style>
  <w:style w:type="character" w:customStyle="1" w:styleId="FooterChar">
    <w:name w:val="Footer Char"/>
    <w:basedOn w:val="DefaultParagraphFont"/>
    <w:link w:val="Footer"/>
    <w:uiPriority w:val="99"/>
    <w:rsid w:val="00822F06"/>
    <w:rPr>
      <w:rFonts w:ascii="Roboto Light" w:hAnsi="Roboto Light"/>
      <w:color w:val="003A70"/>
      <w:sz w:val="20"/>
      <w:szCs w:val="20"/>
    </w:rPr>
  </w:style>
  <w:style w:type="paragraph" w:styleId="ListParagraph">
    <w:name w:val="List Paragraph"/>
    <w:basedOn w:val="Normal"/>
    <w:uiPriority w:val="34"/>
    <w:qFormat/>
    <w:rsid w:val="00801855"/>
    <w:pPr>
      <w:spacing w:after="160" w:line="259" w:lineRule="auto"/>
      <w:ind w:left="720"/>
      <w:contextualSpacing/>
    </w:pPr>
    <w:rPr>
      <w:rFonts w:asciiTheme="minorHAnsi" w:hAnsiTheme="minorHAnsi"/>
      <w:color w:val="auto"/>
      <w:sz w:val="22"/>
      <w:szCs w:val="22"/>
      <w:lang w:val="en-AU"/>
    </w:rPr>
  </w:style>
  <w:style w:type="paragraph" w:styleId="BalloonText">
    <w:name w:val="Balloon Text"/>
    <w:basedOn w:val="Normal"/>
    <w:link w:val="BalloonTextChar"/>
    <w:uiPriority w:val="99"/>
    <w:semiHidden/>
    <w:unhideWhenUsed/>
    <w:rsid w:val="00801855"/>
    <w:rPr>
      <w:rFonts w:ascii="Segoe U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801855"/>
    <w:rPr>
      <w:rFonts w:ascii="Segoe UI" w:hAnsi="Segoe UI" w:cs="Segoe UI"/>
      <w:sz w:val="18"/>
      <w:szCs w:val="18"/>
      <w:lang w:val="en-AU"/>
    </w:rPr>
  </w:style>
  <w:style w:type="character" w:styleId="CommentReference">
    <w:name w:val="annotation reference"/>
    <w:basedOn w:val="DefaultParagraphFont"/>
    <w:uiPriority w:val="99"/>
    <w:semiHidden/>
    <w:unhideWhenUsed/>
    <w:rsid w:val="00801855"/>
    <w:rPr>
      <w:sz w:val="16"/>
      <w:szCs w:val="16"/>
    </w:rPr>
  </w:style>
  <w:style w:type="paragraph" w:styleId="CommentText">
    <w:name w:val="annotation text"/>
    <w:basedOn w:val="Normal"/>
    <w:link w:val="CommentTextChar"/>
    <w:uiPriority w:val="99"/>
    <w:semiHidden/>
    <w:unhideWhenUsed/>
    <w:rsid w:val="00801855"/>
    <w:pPr>
      <w:spacing w:after="160"/>
    </w:pPr>
    <w:rPr>
      <w:rFonts w:asciiTheme="minorHAnsi" w:hAnsiTheme="minorHAnsi"/>
      <w:color w:val="auto"/>
      <w:lang w:val="en-AU"/>
    </w:rPr>
  </w:style>
  <w:style w:type="character" w:customStyle="1" w:styleId="CommentTextChar">
    <w:name w:val="Comment Text Char"/>
    <w:basedOn w:val="DefaultParagraphFont"/>
    <w:link w:val="CommentText"/>
    <w:uiPriority w:val="99"/>
    <w:semiHidden/>
    <w:rsid w:val="00801855"/>
    <w:rPr>
      <w:sz w:val="20"/>
      <w:szCs w:val="20"/>
      <w:lang w:val="en-AU"/>
    </w:rPr>
  </w:style>
  <w:style w:type="paragraph" w:styleId="CommentSubject">
    <w:name w:val="annotation subject"/>
    <w:basedOn w:val="CommentText"/>
    <w:next w:val="CommentText"/>
    <w:link w:val="CommentSubjectChar"/>
    <w:uiPriority w:val="99"/>
    <w:semiHidden/>
    <w:unhideWhenUsed/>
    <w:rsid w:val="00801855"/>
    <w:rPr>
      <w:b/>
      <w:bCs/>
    </w:rPr>
  </w:style>
  <w:style w:type="character" w:customStyle="1" w:styleId="CommentSubjectChar">
    <w:name w:val="Comment Subject Char"/>
    <w:basedOn w:val="CommentTextChar"/>
    <w:link w:val="CommentSubject"/>
    <w:uiPriority w:val="99"/>
    <w:semiHidden/>
    <w:rsid w:val="00801855"/>
    <w:rPr>
      <w:b/>
      <w:bCs/>
      <w:sz w:val="20"/>
      <w:szCs w:val="20"/>
      <w:lang w:val="en-AU"/>
    </w:rPr>
  </w:style>
  <w:style w:type="character" w:styleId="UnresolvedMention">
    <w:name w:val="Unresolved Mention"/>
    <w:basedOn w:val="DefaultParagraphFont"/>
    <w:uiPriority w:val="99"/>
    <w:semiHidden/>
    <w:unhideWhenUsed/>
    <w:rsid w:val="00801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discommission.gov.au/sites/default/files/documents/2019-08/ndis-practice-standards-july-2018.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3258</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Georgie Atwell</dc:creator>
  <cp:lastModifiedBy>Georgie Atwell</cp:lastModifiedBy>
  <cp:revision>3</cp:revision>
  <cp:lastPrinted>2020-05-28T14:19:00Z</cp:lastPrinted>
  <dcterms:created xsi:type="dcterms:W3CDTF">2020-07-01T04:48:00Z</dcterms:created>
  <dcterms:modified xsi:type="dcterms:W3CDTF">2020-07-01T04:48:00Z</dcterms:modified>
</cp:coreProperties>
</file>